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A2 20 85 vom 7. März 2022</w:t>
      </w:r>
    </w:p>
    <w:p>
      <w:r>
        <w:t>VS Kantonsgericht, 2022-03-07, FR</w:t>
      </w:r>
    </w:p>
    <w:p>
      <w:r>
        <w:rPr>
          <w:b/>
        </w:rPr>
        <w:t xml:space="preserve">Quelle: </w:t>
      </w:r>
      <w:r>
        <w:t>https://mcp.opencaselaw.ch/entscheid/vs_gerichte_A2 20 85</w:t>
      </w:r>
    </w:p>
    <w:p>
      <w:r>
        <w:t>FR: VS_GERICHTE A2 20 85 du 7 mars 2022</w:t>
      </w:r>
    </w:p>
    <w:p>
      <w:r>
        <w:t>IT: VS_GERICHTE A2 20 85 del 7 marzo 2022</w:t>
      </w:r>
    </w:p>
    <w:p>
      <w:pPr>
        <w:pStyle w:val="Heading2"/>
      </w:pPr>
      <w:r>
        <w:t>Regeste</w:t>
      </w:r>
    </w:p>
    <w:p>
      <w:r>
        <w:t>A2 20 85 ARRÊT DU 7 MARS 2022 Tribunal cantonal du Valais Cour de droit public Composition : Thomas Brunner, président, Jean-Bernard Fournier, juge, Frédéric Fellay, juge suppléant en la cause X _________, requérant, représenté par Maître Edmond Perruchoud, avocat, 3960 Sierre contre CONSEIL D’ETAT DU CANTON DU VALAIS, à Sion, autorité attaquée, CONSEIL COMMUNAL DE A _________, autre autorité, représentée par Me Jacques Fournier, avocat, 1950 Sion (police des constructions ; révision) Demande en révision de l’ACDP A1 17 149 du 18 juillet 2019</w:t>
      </w:r>
    </w:p>
    <w:p>
      <w:pPr>
        <w:pStyle w:val="Heading2"/>
      </w:pPr>
      <w:r>
        <w:t>Erwägungen</w:t>
      </w:r>
    </w:p>
    <w:p>
      <w:r>
        <w:rPr>
          <w:b/>
        </w:rPr>
        <w:t>E. 1</w:t>
      </w:r>
    </w:p>
    <w:p>
      <w:r>
        <w:t>L’art. 62 LPJA habilite la juridiction de recours administratif à réviser, d’office ou à la demande d’une partie, son prononcé sur un tel recours. Il ne régit pas la révision des arrêts sur recours de droit administratif qui, en raison du renvoi figurant à l’art. 81 LPJA, est réglementée aux art. 328 ss du code de procédure civile du 19 décembre 2008 (CPC - [RS 272] ; cf. p. ex. ACDP A1 19 57 du 13 février 2020 cons. 1.1 citant ACDP A2 19 25 du 12 août 2019 consid. 1 ; arrêt du Tribunal fédéral 2P.204/2003 du 5 novembre 2003 consid. 2.1 ; Jean-Claude Lugon, Révocation, reconsidération, révision, in : ZBl 90/1989, p. 434). La cause sera donc jugée selon le CPC.</w:t>
      </w:r>
    </w:p>
    <w:p>
      <w:r>
        <w:rPr>
          <w:b/>
        </w:rPr>
        <w:t>E. 2</w:t>
      </w:r>
    </w:p>
    <w:p>
      <w:r>
        <w:t>Aux termes de son art. 328 al. 1 lit. a, une partie peut demander la révision de la décision d’entrée en force du tribunal qui a statué en dernière instance lorsqu’elle découvre après coup des faits pertinents qu’elle n’avait pu invoquer dans la procédure précédente, à l’exclusion des faits et moyens de preuve postérieurs à la décision. La notion de faits inclut les indices et les moyens de preuve, mais non un changement de loi ou de jurisprudence (cf. p. ex. PC CPC, F. Bastons Bulletti, N 29 ad art. 328 et les auteurs cités). La perspective d’un pareil changement n’est donc a fortiori pas un motif de révision d’un arrêt de céans.</w:t>
      </w:r>
    </w:p>
    <w:p>
      <w:r>
        <w:t>- 4 -</w:t>
      </w:r>
    </w:p>
    <w:p>
      <w:r>
        <w:rPr>
          <w:b/>
        </w:rPr>
        <w:t>E. 3</w:t>
      </w:r>
    </w:p>
    <w:p>
      <w:r>
        <w:t>La demande en révision de X _________ est à rejeter en tant qu’elle est recevable, et sans plus ample discussion, attendu qu’elle se base exclusivement sur d’hypothétiques adaptations à venir, évoquées dans une réponse du Conseil d’Etat à un postulat, de normes du droit de l’aménagement du territoire et des constructions, et sur la mention, dans cette réponse, d’éventuels reports, non encore décidés, de l’exécution d’ordres de police des constructions rendus par la CCC.</w:t>
      </w:r>
    </w:p>
    <w:p>
      <w:r>
        <w:rPr>
          <w:b/>
        </w:rPr>
        <w:t>E. 4</w:t>
      </w:r>
    </w:p>
    <w:p>
      <w:r>
        <w:t>X _________ paiera un émolument de justice de 1000 fr. fixé en application des paramètres usuels de la couverture des frais et de l’équivalence des prestations ; les dépens lui sont refusés (art. 88 al. 1 LPJA ; cf. par analogie art. 89 al. 1 et 91 al. 1 LPJA ; art. 104 ss CPC ; art. 3 al. 3, 11, 13 al. 1, 25, de la loi du 11 février 2009 fixant le tarif des frais et dépens devant les autorités judiciaires ou administratives - [LTar ; RS/VS 173.8]).</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